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w:t>
      </w:r>
    </w:p>
    <w:p>
      <w:pPr>
        <w:pStyle w:val="Textabsatz"/>
      </w:pPr>
      <w:r>
        <w:t xml:space="preserve">Musterstadt</w:t>
      </w:r>
    </w:p>
    <w:p>
      <w:pPr>
        <w:pStyle w:val="Textabsatz"/>
      </w:pPr>
      <w:r>
        <w:t xml:space="preserve">In dem Strafverfahren gegen H. Mustermann</w:t>
      </w:r>
    </w:p>
    <w:p>
      <w:pPr>
        <w:pStyle w:val="Textabsatz"/>
      </w:pPr>
      <w:r>
        <w:t xml:space="preserve">beantrage ich, die durch das Urteil des AG Musterstadt vom 15.10.2025 festgesetzte Sperrfrist für die Wiedererteilung der Fahrerlaubnis gem. § 69a Abs. 7 StGB vorzeitig aufzuheben.</w:t>
      </w:r>
    </w:p>
    <w:p>
      <w:pPr>
        <w:pStyle w:val="Textabsatz"/>
      </w:pPr>
      <w:r>
        <w:t xml:space="preserve">Gründe:</w:t>
      </w:r>
    </w:p>
    <w:p>
      <w:pPr>
        <w:pStyle w:val="Textabsatz"/>
      </w:pPr>
      <w:r>
        <w:t xml:space="preserve">Das Urteil des AG Musterstadt durch das gegen meinen Mandanten eine Sperrfrist von einem Jahr festgesetzt worden ist, ist seit dem 15.10.2025 rechtskräftig. Damit ist die Mindestsperrfrist verstrichen. Mein Mandant hat inzwischen erfolgreich an einem Aufbauseminar für alkoholauffällige Kraftfahrer bei Herrn Dipl. Psych. </w:t>
      </w:r>
      <w:bookmarkStart w:name="Graufeld6" w:id="0"/>
      <w:r>
        <w:fldChar w:fldCharType="begin"/>
      </w:r>
      <w:r>
        <w:instrText xml:space="preserve"> FORMTEXT </w:instrText>
      </w:r>
      <w:r>
        <w:fldChar w:fldCharType="separate"/>
      </w:r>
      <w:r>
        <w:t xml:space="preserve">     </w:t>
      </w:r>
      <w:r>
        <w:fldChar w:fldCharType="end"/>
      </w:r>
      <w:bookmarkEnd w:id="0"/>
      <w:r>
        <w:t xml:space="preserve"> teilgenommen. Der Umfang betrug 20 Stunden zu 45 Minuten, verteilt auf 10 Sitzungen. Die Bestätigung über die erfolgreiche Teilnahme füge ich bei.</w:t>
      </w:r>
    </w:p>
    <w:p>
      <w:pPr>
        <w:pStyle w:val="Textabsatz"/>
      </w:pPr>
      <w:r>
        <w:t xml:space="preserve">Nach der (obergerichtlichen) Rspr. (vgl. die Nachweise bei Fischer, StGB, 73. Aufl. 2026, § 69a Rn 44 m.w.N.) kann eine Nachschulung bzw. Teilnahme an einem Aufbaukursus besonders dazu beitragen, den in der Tat zu Tage getretenen Eignungsmangel zu beseitigen. Das gilt besonders bei einer Einzelmaßnahme. Nach dem Inhalt der Bescheinigung hat sich das Trinkverhalten meines Mandanten seit der Anlasstat auch nachhaltig verändert. Mein Mandant konsumiert, wenn er am Straßenverkehr teilnimmt, überhaupt keinen Alkohol mehr. Dies alles rechtfertigt, die vorzeitige Aufhebung der Sperre für die Wiedererteilung der Fahrerlaubnis, auf die mein Mandant aus beruflichen Gründen dringend angewiesen ist.</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