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An das</w:t>
      </w:r>
    </w:p>
    <w:p>
      <w:pPr>
        <w:pStyle w:val="Textabsatz"/>
      </w:pPr>
      <w:r>
        <w:t xml:space="preserve">Oberlandesgericht</w:t>
      </w:r>
    </w:p>
    <w:p>
      <w:pPr>
        <w:pStyle w:val="Textabsatz"/>
      </w:pPr>
      <w:r>
        <w:t xml:space="preserve">Musterstadt</w:t>
      </w:r>
    </w:p>
    <w:p>
      <w:pPr>
        <w:pStyle w:val="Textabsatz"/>
      </w:pPr>
      <w:r>
        <w:t xml:space="preserve">in der Strafvollstreckungssache</w:t>
      </w:r>
    </w:p>
    <w:p>
      <w:pPr>
        <w:pStyle w:val="Textabsatz"/>
      </w:pPr>
      <w:r>
        <w:t xml:space="preserve">gegen</w:t>
      </w:r>
    </w:p>
    <w:p>
      <w:pPr>
        <w:pStyle w:val="Textabsatz"/>
      </w:pPr>
      <w:r>
        <w:t xml:space="preserve">H. Muster</w:t>
      </w:r>
    </w:p>
    <w:p>
      <w:pPr>
        <w:pStyle w:val="Textabsatz"/>
      </w:pPr>
      <w:r>
        <w:t xml:space="preserve">Az.: </w:t>
      </w:r>
      <w:bookmarkStart w:name="Graufeld19" w:id="0"/>
      <w:r>
        <w:fldChar w:fldCharType="begin"/>
      </w:r>
      <w:r>
        <w:instrText xml:space="preserve"> FORMTEXT </w:instrText>
      </w:r>
      <w:r>
        <w:fldChar w:fldCharType="separate"/>
      </w:r>
      <w:r>
        <w:t xml:space="preserve">     </w:t>
      </w:r>
      <w:r>
        <w:fldChar w:fldCharType="end"/>
      </w:r>
      <w:bookmarkEnd w:id="0"/>
    </w:p>
    <w:p>
      <w:pPr>
        <w:pStyle w:val="Textabsatz"/>
      </w:pPr>
      <w:r>
        <w:t xml:space="preserve">stelle ich den Antrag auf</w:t>
      </w:r>
    </w:p>
    <w:p>
      <w:pPr>
        <w:pStyle w:val="Textabsatz"/>
        <w:jc w:val="center"/>
      </w:pPr>
      <w:r>
        <w:rPr xmlns:w="http://schemas.openxmlformats.org/wordprocessingml/2006/main">
          <w:b/>
        </w:rPr>
        <w:t xml:space="preserve">gerichtliche Entscheidung</w:t>
      </w:r>
    </w:p>
    <w:p>
      <w:pPr>
        <w:pStyle w:val="Textabsatz"/>
      </w:pPr>
      <w:r>
        <w:t xml:space="preserve">und beantrage gem. § 23 EGGVG</w:t>
      </w:r>
    </w:p>
    <w:p>
      <w:pPr>
        <w:pStyle w:val="ListeManuell1Ebene"/>
      </w:pPr>
      <w:r>
        <w:t xml:space="preserve">1.	die Verfügung der Staatsanwaltschaft Musterdorf vom </w:t>
      </w:r>
      <w:bookmarkStart w:name="Graufeld20" w:id="1"/>
      <w:r>
        <w:fldChar w:fldCharType="begin"/>
      </w:r>
      <w:r>
        <w:instrText xml:space="preserve"> FORMTEXT </w:instrText>
      </w:r>
      <w:r>
        <w:fldChar w:fldCharType="separate"/>
      </w:r>
      <w:r>
        <w:t xml:space="preserve">     </w:t>
      </w:r>
      <w:r>
        <w:fldChar w:fldCharType="end"/>
      </w:r>
      <w:bookmarkEnd w:id="1"/>
      <w:r>
        <w:t xml:space="preserve"> sowie der hierzu von der Generalstaatsanwaltschaft Musterstadt erlassene Bescheid vom </w:t>
      </w:r>
      <w:bookmarkStart w:name="Graufeld21" w:id="2"/>
      <w:r>
        <w:fldChar w:fldCharType="begin"/>
      </w:r>
      <w:r>
        <w:instrText xml:space="preserve"> FORMTEXT </w:instrText>
      </w:r>
      <w:r>
        <w:fldChar w:fldCharType="separate"/>
      </w:r>
      <w:r>
        <w:t xml:space="preserve">     </w:t>
      </w:r>
      <w:r>
        <w:fldChar w:fldCharType="end"/>
      </w:r>
      <w:bookmarkEnd w:id="2"/>
      <w:r>
        <w:t xml:space="preserve"> werden aufgehoben.</w:t>
      </w:r>
    </w:p>
    <w:p>
      <w:pPr>
        <w:pStyle w:val="ListeManuell1Ebene"/>
      </w:pPr>
      <w:r>
        <w:t xml:space="preserve">2.	Die Staatsanwaltschaft Musterdorf wird verpflichtet, den Antragsteller unter Beachtung der Rechtsauffassung des erkennenden Senats erneut zu bescheiden.</w:t>
      </w:r>
    </w:p>
    <w:p>
      <w:pPr>
        <w:pStyle w:val="Textabsatz"/>
      </w:pPr>
      <w:r>
        <w:t xml:space="preserve">Gründe:</w:t>
      </w:r>
    </w:p>
    <w:p>
      <w:pPr>
        <w:pStyle w:val="Textabsatz"/>
      </w:pPr>
      <w:r>
        <w:t xml:space="preserve">Mit Antrag vom </w:t>
      </w:r>
      <w:bookmarkStart w:name="Graufeld22" w:id="3"/>
      <w:r>
        <w:fldChar w:fldCharType="begin"/>
      </w:r>
      <w:r>
        <w:instrText xml:space="preserve"> FORMTEXT </w:instrText>
      </w:r>
      <w:r>
        <w:fldChar w:fldCharType="separate"/>
      </w:r>
      <w:r>
        <w:t xml:space="preserve">     </w:t>
      </w:r>
      <w:r>
        <w:fldChar w:fldCharType="end"/>
      </w:r>
      <w:bookmarkEnd w:id="3"/>
      <w:r>
        <w:t xml:space="preserve"> hat der Verurteilte gem. § 35 BtMG die Zurückstellung der Strafvollstreckung der Freiheitstrafe i.H.v. 2 Jahren wegen Besitzes von Betäubungsmitteln in nicht geringer Menge aus dem Urteil des Landgerichts X vom </w:t>
      </w:r>
      <w:bookmarkStart w:name="Graufeld23" w:id="4"/>
      <w:r>
        <w:fldChar w:fldCharType="begin"/>
      </w:r>
      <w:r>
        <w:instrText xml:space="preserve"> FORMTEXT </w:instrText>
      </w:r>
      <w:r>
        <w:fldChar w:fldCharType="separate"/>
      </w:r>
      <w:r>
        <w:t xml:space="preserve">     </w:t>
      </w:r>
      <w:r>
        <w:fldChar w:fldCharType="end"/>
      </w:r>
      <w:bookmarkEnd w:id="4"/>
      <w:r>
        <w:t xml:space="preserve"> beantragt (Anlage).</w:t>
      </w:r>
    </w:p>
    <w:p>
      <w:pPr>
        <w:pStyle w:val="Textabsatz"/>
      </w:pPr>
      <w:r>
        <w:t xml:space="preserve">Die Voraussetzungen der Zurückstellung liegen vor, die abgeurteilten Straftaten sind aufgrund von Betäubungsmittelabhängigkeit begangen worden, ein Therapieplatz liegt vor, die Kostenzusage wurde erteilt und der Verurteilte hat seine Therapiebereitschaft erklärt.</w:t>
      </w:r>
    </w:p>
    <w:p>
      <w:pPr>
        <w:pStyle w:val="Textabsatz"/>
      </w:pPr>
      <w:r>
        <w:t xml:space="preserve">Die Staatsanwaltschaft Musterdorf hat mit der angefochtenen Verfügung trotzdem die Zurückstellung abgelehnt mit der Begründung, angesichts der vielen Vorstrafen des Verurteilten stehe die nun verwirklichte Tatschuld einer Zurückstellung der der Strafvollstreckung entgegen. (Anlage)</w:t>
      </w:r>
    </w:p>
    <w:p>
      <w:pPr>
        <w:pStyle w:val="Textabsatz"/>
      </w:pPr>
      <w:r>
        <w:t xml:space="preserve">Mit Bescheid vom </w:t>
      </w:r>
      <w:bookmarkStart w:name="Graufeld24" w:id="5"/>
      <w:r>
        <w:fldChar w:fldCharType="begin"/>
      </w:r>
      <w:r>
        <w:instrText xml:space="preserve"> FORMTEXT </w:instrText>
      </w:r>
      <w:r>
        <w:fldChar w:fldCharType="separate"/>
      </w:r>
      <w:r>
        <w:t xml:space="preserve">     </w:t>
      </w:r>
      <w:r>
        <w:fldChar w:fldCharType="end"/>
      </w:r>
      <w:bookmarkEnd w:id="5"/>
      <w:r>
        <w:t xml:space="preserve">, eingegangen beim Unterzeichner am </w:t>
      </w:r>
      <w:bookmarkStart w:name="Graufeld25" w:id="6"/>
      <w:r>
        <w:fldChar w:fldCharType="begin"/>
      </w:r>
      <w:r>
        <w:instrText xml:space="preserve"> FORMTEXT </w:instrText>
      </w:r>
      <w:r>
        <w:fldChar w:fldCharType="separate"/>
      </w:r>
      <w:r>
        <w:t xml:space="preserve">     </w:t>
      </w:r>
      <w:r>
        <w:fldChar w:fldCharType="end"/>
      </w:r>
      <w:bookmarkEnd w:id="6"/>
      <w:r>
        <w:t xml:space="preserve"> hat die Generalstaatsanwaltschaft Musterstadt es im Rahmen des Vorschaltbeschwerdeverfahrens abgelehnt, die Verfügung der Staatsanwaltschaft aufzuheben und dem Zurückstellungsantrag des Verurteilten zu entsprechen. (Anlage)</w:t>
      </w:r>
    </w:p>
    <w:p>
      <w:pPr>
        <w:pStyle w:val="Textabsatz"/>
      </w:pPr>
      <w:r>
        <w:t xml:space="preserve">Die Ablehnung der Zurückstellung ist ermessensfehlerhaft. Erwägungen zum Ausmaß der Tatschuld, insbesondere zu Anzahl und Schwere der der Verurteilung zugrunde liegenden Taten, rechtfertigen keine Ablehnung. Mit der 2-Jahres-Grenze hat der Gesetzgeber eine abschließende Regelung zum Unrechts- und Schuldgehalt der Taten getroffen (OLG Karlsruhe StV 1983, 112).</w:t>
      </w:r>
    </w:p>
    <w:p>
      <w:pPr>
        <w:pStyle w:val="Textabsatz"/>
      </w:pPr>
      <w:r>
        <w:t xml:space="preserve">Die Ablehnung der Zurückstellung verletzt den Antragsteller deshalb in seinen Rechten.</w:t>
      </w:r>
    </w:p>
    <w:p>
      <w:pPr>
        <w:pStyle w:val="Textabsatz"/>
      </w:pPr>
      <w:r>
        <w:t xml:space="preserve">Rechtsanwalt</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