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Entschädigungspflicht der Staatskasse ist seit dem rechtskräftig festgestellt. Der Anspruch auf Entschädigung kann nun innerhalb von sechs Monaten nach Zustellung dieses Schreibens bei der Staatsanwaltschaft bei dem Landgericht geltend gemacht werden. Er ist aber in jedem Fall ausgeschlossen, wenn seit dem Ablauf des Tages, an dem die Entschädigungspflicht rechtskräftig festgestellt ist, ein Jahr verstrichen ist, ohne dass ein Antrag im Betragsverfahren gestellt wurde.</w:t>
      </w:r>
    </w:p>
    <w:p>
      <w:pPr>
        <w:pStyle w:val="Textabsatz"/>
      </w:pPr>
      <w:r>
        <w:t xml:space="preserve">Gegenstand der Entschädigung ist der durch die Strafverfolgungsmaßnahme verursachte Vermögensschaden, im Fall der Freiheitsentziehung aufgrund gerichtlicher Entscheidung auch der Schaden, der nicht Vermögensschaden ist. Entschädigung für Vermögensschaden wird nur geleistet, wenn der nachgewiesene Schaden den Betrag von fünfundzwanzig Euro übersteigt. Für den Schaden, der nicht Vermögensschaden ist, beträgt die Entschädigung fünfundsiebzig Euro für jeden angefangenen Tag der Freiheitsentziehung (auszugsweise nach HbStA/</w:t>
      </w:r>
      <w:r>
        <w:rPr xmlns:w="http://schemas.openxmlformats.org/wordprocessingml/2006/main">
          <w:i/>
        </w:rPr>
        <w:t xml:space="preserve">Kunz</w:t>
      </w:r>
      <w:r>
        <w:t xml:space="preserve">, Kapitel 50 Rn 4).</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